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2B" w:rsidRPr="00AF202B" w:rsidRDefault="00FA2481" w:rsidP="00AF202B">
      <w:pPr>
        <w:spacing w:after="270" w:line="390" w:lineRule="atLeast"/>
        <w:textAlignment w:val="baseline"/>
        <w:outlineLvl w:val="1"/>
        <w:rPr>
          <w:rFonts w:ascii="Georgia" w:eastAsia="Times New Roman" w:hAnsi="Georgia" w:cs="Arial"/>
          <w:b/>
          <w:bCs/>
          <w:i/>
          <w:iCs/>
          <w:color w:val="170E02"/>
          <w:sz w:val="36"/>
          <w:szCs w:val="36"/>
          <w:lang w:eastAsia="ru-RU"/>
        </w:rPr>
      </w:pPr>
      <w:r>
        <w:rPr>
          <w:rFonts w:ascii="Georgia" w:eastAsia="Times New Roman" w:hAnsi="Georgia" w:cs="Arial"/>
          <w:b/>
          <w:bCs/>
          <w:i/>
          <w:iCs/>
          <w:color w:val="170E02"/>
          <w:sz w:val="36"/>
          <w:szCs w:val="36"/>
          <w:lang w:eastAsia="ru-RU"/>
        </w:rPr>
        <w:t>Т</w:t>
      </w:r>
      <w:r w:rsidR="00AF202B" w:rsidRPr="00AF202B">
        <w:rPr>
          <w:rFonts w:ascii="Georgia" w:eastAsia="Times New Roman" w:hAnsi="Georgia" w:cs="Arial"/>
          <w:b/>
          <w:bCs/>
          <w:i/>
          <w:iCs/>
          <w:color w:val="170E02"/>
          <w:sz w:val="36"/>
          <w:szCs w:val="36"/>
          <w:lang w:eastAsia="ru-RU"/>
        </w:rPr>
        <w:t>ехнология проблемного диалога</w:t>
      </w:r>
    </w:p>
    <w:p w:rsidR="00AF202B" w:rsidRPr="00AF202B" w:rsidRDefault="00AF202B" w:rsidP="00AF202B">
      <w:pPr>
        <w:spacing w:after="0" w:line="360" w:lineRule="atLeast"/>
        <w:jc w:val="center"/>
        <w:textAlignment w:val="baseline"/>
        <w:rPr>
          <w:rFonts w:ascii="Arial" w:eastAsia="Times New Roman" w:hAnsi="Arial" w:cs="Arial"/>
          <w:color w:val="170E02"/>
          <w:sz w:val="24"/>
          <w:szCs w:val="24"/>
          <w:lang w:eastAsia="ru-RU"/>
        </w:rPr>
      </w:pPr>
      <w:r>
        <w:rPr>
          <w:rFonts w:ascii="Arial" w:eastAsia="Times New Roman" w:hAnsi="Arial" w:cs="Arial"/>
          <w:noProof/>
          <w:color w:val="170E02"/>
          <w:sz w:val="24"/>
          <w:szCs w:val="24"/>
          <w:lang w:eastAsia="ru-RU"/>
        </w:rPr>
        <w:drawing>
          <wp:inline distT="0" distB="0" distL="0" distR="0">
            <wp:extent cx="6762750" cy="5067300"/>
            <wp:effectExtent l="19050" t="0" r="0" b="0"/>
            <wp:docPr id="1" name="Рисунок 1" descr="http://www.school2100.ru/temp/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2100.ru/temp/PD.jpg"/>
                    <pic:cNvPicPr>
                      <a:picLocks noChangeAspect="1" noChangeArrowheads="1"/>
                    </pic:cNvPicPr>
                  </pic:nvPicPr>
                  <pic:blipFill>
                    <a:blip r:embed="rId5" cstate="print"/>
                    <a:srcRect/>
                    <a:stretch>
                      <a:fillRect/>
                    </a:stretch>
                  </pic:blipFill>
                  <pic:spPr bwMode="auto">
                    <a:xfrm>
                      <a:off x="0" y="0"/>
                      <a:ext cx="6762750" cy="5067300"/>
                    </a:xfrm>
                    <a:prstGeom prst="rect">
                      <a:avLst/>
                    </a:prstGeom>
                    <a:noFill/>
                    <a:ln w="9525">
                      <a:noFill/>
                      <a:miter lim="800000"/>
                      <a:headEnd/>
                      <a:tailEnd/>
                    </a:ln>
                  </pic:spPr>
                </pic:pic>
              </a:graphicData>
            </a:graphic>
          </wp:inline>
        </w:drawing>
      </w:r>
    </w:p>
    <w:p w:rsidR="00AF202B" w:rsidRPr="00AF202B" w:rsidRDefault="00AF202B" w:rsidP="00AF202B">
      <w:pPr>
        <w:spacing w:after="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b/>
          <w:bCs/>
          <w:color w:val="170E02"/>
          <w:sz w:val="24"/>
          <w:szCs w:val="24"/>
          <w:lang w:eastAsia="ru-RU"/>
        </w:rPr>
        <w:t>Проблемно-диалогическая технология</w:t>
      </w:r>
      <w:r w:rsidRPr="00AF202B">
        <w:rPr>
          <w:rFonts w:ascii="Arial" w:eastAsia="Times New Roman" w:hAnsi="Arial" w:cs="Arial"/>
          <w:color w:val="170E02"/>
          <w:sz w:val="24"/>
          <w:szCs w:val="24"/>
          <w:lang w:eastAsia="ru-RU"/>
        </w:rPr>
        <w:t> дает развернутый ответ на вопрос, как учить, чтобы ученики ставили и решали проблемы. В словосочетании «проблемный диалог» первое слово означает, что на уроке изучения нового материала должны быть проработаны два звена: постановка учебной проблемы и поиск ее решения.</w:t>
      </w:r>
    </w:p>
    <w:p w:rsidR="00AF202B" w:rsidRPr="00AF202B" w:rsidRDefault="00AF202B" w:rsidP="00AF202B">
      <w:pPr>
        <w:numPr>
          <w:ilvl w:val="0"/>
          <w:numId w:val="1"/>
        </w:numPr>
        <w:spacing w:after="0" w:line="360" w:lineRule="atLeast"/>
        <w:ind w:left="600" w:right="300"/>
        <w:textAlignment w:val="baseline"/>
        <w:rPr>
          <w:rFonts w:ascii="Arial" w:eastAsia="Times New Roman" w:hAnsi="Arial" w:cs="Arial"/>
          <w:color w:val="170E02"/>
          <w:sz w:val="24"/>
          <w:szCs w:val="24"/>
          <w:lang w:eastAsia="ru-RU"/>
        </w:rPr>
      </w:pPr>
      <w:r w:rsidRPr="00AF202B">
        <w:rPr>
          <w:rFonts w:ascii="Arial" w:eastAsia="Times New Roman" w:hAnsi="Arial" w:cs="Arial"/>
          <w:b/>
          <w:bCs/>
          <w:color w:val="170E02"/>
          <w:sz w:val="24"/>
          <w:szCs w:val="24"/>
          <w:lang w:eastAsia="ru-RU"/>
        </w:rPr>
        <w:t>Постановка проблемы</w:t>
      </w:r>
      <w:r w:rsidRPr="00AF202B">
        <w:rPr>
          <w:rFonts w:ascii="Arial" w:eastAsia="Times New Roman" w:hAnsi="Arial" w:cs="Arial"/>
          <w:color w:val="170E02"/>
          <w:sz w:val="24"/>
          <w:szCs w:val="24"/>
          <w:lang w:eastAsia="ru-RU"/>
        </w:rPr>
        <w:t> – это этап формулирования темы урока или вопроса для исследования.</w:t>
      </w:r>
    </w:p>
    <w:p w:rsidR="00AF202B" w:rsidRPr="00AF202B" w:rsidRDefault="00AF202B" w:rsidP="00AF202B">
      <w:pPr>
        <w:numPr>
          <w:ilvl w:val="0"/>
          <w:numId w:val="1"/>
        </w:numPr>
        <w:spacing w:after="0" w:line="360" w:lineRule="atLeast"/>
        <w:ind w:left="600" w:right="300"/>
        <w:textAlignment w:val="baseline"/>
        <w:rPr>
          <w:rFonts w:ascii="Arial" w:eastAsia="Times New Roman" w:hAnsi="Arial" w:cs="Arial"/>
          <w:color w:val="170E02"/>
          <w:sz w:val="24"/>
          <w:szCs w:val="24"/>
          <w:lang w:eastAsia="ru-RU"/>
        </w:rPr>
      </w:pPr>
      <w:r w:rsidRPr="00AF202B">
        <w:rPr>
          <w:rFonts w:ascii="Arial" w:eastAsia="Times New Roman" w:hAnsi="Arial" w:cs="Arial"/>
          <w:b/>
          <w:bCs/>
          <w:color w:val="170E02"/>
          <w:sz w:val="24"/>
          <w:szCs w:val="24"/>
          <w:lang w:eastAsia="ru-RU"/>
        </w:rPr>
        <w:t>Поиск решения</w:t>
      </w:r>
      <w:r w:rsidRPr="00AF202B">
        <w:rPr>
          <w:rFonts w:ascii="Arial" w:eastAsia="Times New Roman" w:hAnsi="Arial" w:cs="Arial"/>
          <w:color w:val="170E02"/>
          <w:sz w:val="24"/>
          <w:szCs w:val="24"/>
          <w:lang w:eastAsia="ru-RU"/>
        </w:rPr>
        <w:t> – этап формулирования нового знания.</w:t>
      </w:r>
    </w:p>
    <w:p w:rsidR="00AF202B" w:rsidRPr="00AF202B" w:rsidRDefault="00AF202B" w:rsidP="00AF202B">
      <w:pPr>
        <w:spacing w:before="150" w:after="15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color w:val="170E02"/>
          <w:sz w:val="24"/>
          <w:szCs w:val="24"/>
          <w:lang w:eastAsia="ru-RU"/>
        </w:rPr>
        <w:t>Слово «диалог» означает, что постановку проблемы и поиск решения ученики осуществляют в ходе специально выстроенного учителем диалога. Различают два вида диалога: побуждающий и подводящий.</w:t>
      </w:r>
    </w:p>
    <w:p w:rsidR="00AF202B" w:rsidRPr="00AF202B" w:rsidRDefault="00AF202B" w:rsidP="00AF202B">
      <w:pPr>
        <w:numPr>
          <w:ilvl w:val="0"/>
          <w:numId w:val="2"/>
        </w:numPr>
        <w:spacing w:after="0" w:line="360" w:lineRule="atLeast"/>
        <w:ind w:left="600" w:right="300"/>
        <w:textAlignment w:val="baseline"/>
        <w:rPr>
          <w:rFonts w:ascii="Arial" w:eastAsia="Times New Roman" w:hAnsi="Arial" w:cs="Arial"/>
          <w:color w:val="170E02"/>
          <w:sz w:val="24"/>
          <w:szCs w:val="24"/>
          <w:lang w:eastAsia="ru-RU"/>
        </w:rPr>
      </w:pPr>
      <w:r w:rsidRPr="00AF202B">
        <w:rPr>
          <w:rFonts w:ascii="Arial" w:eastAsia="Times New Roman" w:hAnsi="Arial" w:cs="Arial"/>
          <w:b/>
          <w:bCs/>
          <w:color w:val="170E02"/>
          <w:sz w:val="24"/>
          <w:szCs w:val="24"/>
          <w:lang w:eastAsia="ru-RU"/>
        </w:rPr>
        <w:t>Побуждающий диалог</w:t>
      </w:r>
      <w:r w:rsidRPr="00AF202B">
        <w:rPr>
          <w:rFonts w:ascii="Arial" w:eastAsia="Times New Roman" w:hAnsi="Arial" w:cs="Arial"/>
          <w:color w:val="170E02"/>
          <w:sz w:val="24"/>
          <w:szCs w:val="24"/>
          <w:lang w:eastAsia="ru-RU"/>
        </w:rPr>
        <w:t> состоит из отдельных стимулирующих реплик, которые помогают ученику работать по-настоящему творчески. На этапе постановки проблемы этот диалог применяется для того, чтобы ученики осознали противоречие, заложенное в проблемной ситуации, и сформулировали проблему. На этапе поиска решения учитель побуждает учеников выдвинуть и проверить гипотезы, т.е. обеспечивает «открытие» знаний путем проб и ошибок.</w:t>
      </w:r>
    </w:p>
    <w:p w:rsidR="00AF202B" w:rsidRPr="00AF202B" w:rsidRDefault="00AF202B" w:rsidP="00AF202B">
      <w:pPr>
        <w:numPr>
          <w:ilvl w:val="0"/>
          <w:numId w:val="2"/>
        </w:numPr>
        <w:spacing w:after="0" w:line="360" w:lineRule="atLeast"/>
        <w:ind w:left="600" w:right="300"/>
        <w:textAlignment w:val="baseline"/>
        <w:rPr>
          <w:rFonts w:ascii="Arial" w:eastAsia="Times New Roman" w:hAnsi="Arial" w:cs="Arial"/>
          <w:color w:val="170E02"/>
          <w:sz w:val="24"/>
          <w:szCs w:val="24"/>
          <w:lang w:eastAsia="ru-RU"/>
        </w:rPr>
      </w:pPr>
      <w:r w:rsidRPr="00AF202B">
        <w:rPr>
          <w:rFonts w:ascii="Arial" w:eastAsia="Times New Roman" w:hAnsi="Arial" w:cs="Arial"/>
          <w:b/>
          <w:bCs/>
          <w:color w:val="170E02"/>
          <w:sz w:val="24"/>
          <w:szCs w:val="24"/>
          <w:lang w:eastAsia="ru-RU"/>
        </w:rPr>
        <w:t>Подводящий диалог</w:t>
      </w:r>
      <w:r w:rsidRPr="00AF202B">
        <w:rPr>
          <w:rFonts w:ascii="Arial" w:eastAsia="Times New Roman" w:hAnsi="Arial" w:cs="Arial"/>
          <w:color w:val="170E02"/>
          <w:sz w:val="24"/>
          <w:szCs w:val="24"/>
          <w:lang w:eastAsia="ru-RU"/>
        </w:rPr>
        <w:t> представляет собой систему вопросов и заданий, которая активизирует и, соответственно, развивает логическое мышление учеников. На этапе постановки проблемы учитель пошагово подводит учеников к формулированию темы. На этапе поиска решения он выстраивает логическую цепочку умозаключений, ведущих к новому знанию.</w:t>
      </w:r>
    </w:p>
    <w:p w:rsidR="00AF202B" w:rsidRPr="00AF202B" w:rsidRDefault="00AF202B" w:rsidP="00AF202B">
      <w:pPr>
        <w:spacing w:after="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color w:val="170E02"/>
          <w:sz w:val="24"/>
          <w:szCs w:val="24"/>
          <w:lang w:eastAsia="ru-RU"/>
        </w:rPr>
        <w:t>Таким образом, </w:t>
      </w:r>
      <w:r w:rsidRPr="00AF202B">
        <w:rPr>
          <w:rFonts w:ascii="Arial" w:eastAsia="Times New Roman" w:hAnsi="Arial" w:cs="Arial"/>
          <w:b/>
          <w:bCs/>
          <w:color w:val="170E02"/>
          <w:sz w:val="24"/>
          <w:szCs w:val="24"/>
          <w:lang w:eastAsia="ru-RU"/>
        </w:rPr>
        <w:t>проблемно-диалогическое обучение </w:t>
      </w:r>
      <w:r w:rsidRPr="00AF202B">
        <w:rPr>
          <w:rFonts w:ascii="Arial" w:eastAsia="Times New Roman" w:hAnsi="Arial" w:cs="Arial"/>
          <w:color w:val="170E02"/>
          <w:sz w:val="24"/>
          <w:szCs w:val="24"/>
          <w:lang w:eastAsia="ru-RU"/>
        </w:rPr>
        <w:t xml:space="preserve">– это тип обучения, обеспечивающий творческое усвоение знаний учащимися посредством специально организованного учителем диалога. Учитель сначала в побуждающем или подводящем диалоге помогает ученикам </w:t>
      </w:r>
      <w:proofErr w:type="gramStart"/>
      <w:r w:rsidRPr="00AF202B">
        <w:rPr>
          <w:rFonts w:ascii="Arial" w:eastAsia="Times New Roman" w:hAnsi="Arial" w:cs="Arial"/>
          <w:color w:val="170E02"/>
          <w:sz w:val="24"/>
          <w:szCs w:val="24"/>
          <w:lang w:eastAsia="ru-RU"/>
        </w:rPr>
        <w:t>поставить учебную проблему</w:t>
      </w:r>
      <w:proofErr w:type="gramEnd"/>
      <w:r w:rsidRPr="00AF202B">
        <w:rPr>
          <w:rFonts w:ascii="Arial" w:eastAsia="Times New Roman" w:hAnsi="Arial" w:cs="Arial"/>
          <w:color w:val="170E02"/>
          <w:sz w:val="24"/>
          <w:szCs w:val="24"/>
          <w:lang w:eastAsia="ru-RU"/>
        </w:rPr>
        <w:t>, т.е. сформулировать тему урока или вопрос для исследования, тем самым вызывая у школьников интерес к новому материалу, формируя познавательную мотивацию. Затем посредством побуждающего или подводящего диалога учитель организует поиск решения, или «открытие» нового знания. При этом достигается подлинное понимание учениками материала, ибо нельзя не понимать то, до чего додумался сам.</w:t>
      </w:r>
    </w:p>
    <w:p w:rsidR="00AF202B" w:rsidRPr="00AF202B" w:rsidRDefault="00AF202B" w:rsidP="00AF202B">
      <w:pPr>
        <w:spacing w:after="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color w:val="170E02"/>
          <w:sz w:val="24"/>
          <w:szCs w:val="24"/>
          <w:lang w:eastAsia="ru-RU"/>
        </w:rPr>
        <w:t>В отличие от этого </w:t>
      </w:r>
      <w:r w:rsidRPr="00AF202B">
        <w:rPr>
          <w:rFonts w:ascii="Arial" w:eastAsia="Times New Roman" w:hAnsi="Arial" w:cs="Arial"/>
          <w:b/>
          <w:bCs/>
          <w:color w:val="170E02"/>
          <w:sz w:val="24"/>
          <w:szCs w:val="24"/>
          <w:lang w:eastAsia="ru-RU"/>
        </w:rPr>
        <w:t>традиционное обучение </w:t>
      </w:r>
      <w:r w:rsidRPr="00AF202B">
        <w:rPr>
          <w:rFonts w:ascii="Arial" w:eastAsia="Times New Roman" w:hAnsi="Arial" w:cs="Arial"/>
          <w:color w:val="170E02"/>
          <w:sz w:val="24"/>
          <w:szCs w:val="24"/>
          <w:lang w:eastAsia="ru-RU"/>
        </w:rPr>
        <w:t>– это тип обучения, обеспечивающий репродуктивное усвоение знаний, умений и навыков. При этом постановка проблемы сводится к сообщению учителем темы урока; поиск решения редуцирован до изложения готового знания, что не гарантирует его понимания большинством класса.</w:t>
      </w:r>
    </w:p>
    <w:p w:rsidR="00AF202B" w:rsidRPr="00AF202B" w:rsidRDefault="00AF202B" w:rsidP="00AF202B">
      <w:pPr>
        <w:spacing w:after="24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color w:val="170E02"/>
          <w:sz w:val="24"/>
          <w:szCs w:val="24"/>
          <w:lang w:eastAsia="ru-RU"/>
        </w:rPr>
        <w:t>Центральную часть технологии составляет характеристика </w:t>
      </w:r>
      <w:r w:rsidRPr="00AF202B">
        <w:rPr>
          <w:rFonts w:ascii="Arial" w:eastAsia="Times New Roman" w:hAnsi="Arial" w:cs="Arial"/>
          <w:b/>
          <w:bCs/>
          <w:color w:val="170E02"/>
          <w:sz w:val="24"/>
          <w:szCs w:val="24"/>
          <w:lang w:eastAsia="ru-RU"/>
        </w:rPr>
        <w:t>проблемно-диалогических методов</w:t>
      </w:r>
      <w:r w:rsidRPr="00AF202B">
        <w:rPr>
          <w:rFonts w:ascii="Arial" w:eastAsia="Times New Roman" w:hAnsi="Arial" w:cs="Arial"/>
          <w:color w:val="170E02"/>
          <w:sz w:val="24"/>
          <w:szCs w:val="24"/>
          <w:lang w:eastAsia="ru-RU"/>
        </w:rPr>
        <w:t> обучения. </w:t>
      </w:r>
      <w:r w:rsidRPr="00AF202B">
        <w:rPr>
          <w:rFonts w:ascii="Arial" w:eastAsia="Times New Roman" w:hAnsi="Arial" w:cs="Arial"/>
          <w:color w:val="170E02"/>
          <w:sz w:val="24"/>
          <w:szCs w:val="24"/>
          <w:lang w:eastAsia="ru-RU"/>
        </w:rPr>
        <w:br/>
      </w:r>
    </w:p>
    <w:p w:rsidR="00AF202B" w:rsidRPr="00AF202B" w:rsidRDefault="00AF202B" w:rsidP="00AF202B">
      <w:pPr>
        <w:spacing w:before="210" w:after="210" w:line="330" w:lineRule="atLeast"/>
        <w:textAlignment w:val="baseline"/>
        <w:outlineLvl w:val="2"/>
        <w:rPr>
          <w:rFonts w:ascii="Georgia" w:eastAsia="Times New Roman" w:hAnsi="Georgia" w:cs="Arial"/>
          <w:b/>
          <w:bCs/>
          <w:i/>
          <w:iCs/>
          <w:color w:val="170E02"/>
          <w:sz w:val="27"/>
          <w:szCs w:val="27"/>
          <w:lang w:eastAsia="ru-RU"/>
        </w:rPr>
      </w:pPr>
      <w:r w:rsidRPr="00AF202B">
        <w:rPr>
          <w:rFonts w:ascii="Georgia" w:eastAsia="Times New Roman" w:hAnsi="Georgia" w:cs="Arial"/>
          <w:b/>
          <w:bCs/>
          <w:i/>
          <w:iCs/>
          <w:color w:val="170E02"/>
          <w:sz w:val="27"/>
          <w:szCs w:val="27"/>
          <w:lang w:eastAsia="ru-RU"/>
        </w:rPr>
        <w:t>Классификация методов обучения (методов введения знаний)</w:t>
      </w:r>
    </w:p>
    <w:tbl>
      <w:tblPr>
        <w:tblW w:w="0" w:type="auto"/>
        <w:tblBorders>
          <w:top w:val="single" w:sz="6" w:space="0" w:color="422D12"/>
          <w:left w:val="single" w:sz="6" w:space="0" w:color="422D12"/>
          <w:bottom w:val="single" w:sz="6" w:space="0" w:color="422D12"/>
          <w:right w:val="single" w:sz="6" w:space="0" w:color="422D12"/>
        </w:tblBorders>
        <w:tblCellMar>
          <w:left w:w="0" w:type="dxa"/>
          <w:right w:w="0" w:type="dxa"/>
        </w:tblCellMar>
        <w:tblLook w:val="04A0"/>
      </w:tblPr>
      <w:tblGrid>
        <w:gridCol w:w="1811"/>
        <w:gridCol w:w="3557"/>
        <w:gridCol w:w="2221"/>
        <w:gridCol w:w="1916"/>
      </w:tblGrid>
      <w:tr w:rsidR="00AF202B" w:rsidRPr="00AF202B" w:rsidTr="00AF202B">
        <w:trPr>
          <w:tblHeader/>
        </w:trPr>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b/>
                <w:bCs/>
                <w:sz w:val="24"/>
                <w:szCs w:val="24"/>
                <w:lang w:eastAsia="ru-RU"/>
              </w:rPr>
            </w:pPr>
            <w:r w:rsidRPr="00AF202B">
              <w:rPr>
                <w:rFonts w:ascii="Times New Roman" w:eastAsia="Times New Roman" w:hAnsi="Times New Roman" w:cs="Times New Roman"/>
                <w:b/>
                <w:bCs/>
                <w:sz w:val="24"/>
                <w:szCs w:val="24"/>
                <w:lang w:eastAsia="ru-RU"/>
              </w:rPr>
              <w:t>Методы</w:t>
            </w:r>
          </w:p>
        </w:tc>
        <w:tc>
          <w:tcPr>
            <w:tcW w:w="0" w:type="auto"/>
            <w:gridSpan w:val="2"/>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b/>
                <w:bCs/>
                <w:sz w:val="24"/>
                <w:szCs w:val="24"/>
                <w:lang w:eastAsia="ru-RU"/>
              </w:rPr>
            </w:pPr>
            <w:r w:rsidRPr="00AF202B">
              <w:rPr>
                <w:rFonts w:ascii="Times New Roman" w:eastAsia="Times New Roman" w:hAnsi="Times New Roman" w:cs="Times New Roman"/>
                <w:b/>
                <w:bCs/>
                <w:sz w:val="24"/>
                <w:szCs w:val="24"/>
                <w:lang w:eastAsia="ru-RU"/>
              </w:rPr>
              <w:t>Проблемно-диалогические</w:t>
            </w:r>
          </w:p>
        </w:tc>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b/>
                <w:bCs/>
                <w:sz w:val="24"/>
                <w:szCs w:val="24"/>
                <w:lang w:eastAsia="ru-RU"/>
              </w:rPr>
            </w:pPr>
            <w:r w:rsidRPr="00AF202B">
              <w:rPr>
                <w:rFonts w:ascii="Times New Roman" w:eastAsia="Times New Roman" w:hAnsi="Times New Roman" w:cs="Times New Roman"/>
                <w:b/>
                <w:bCs/>
                <w:sz w:val="24"/>
                <w:szCs w:val="24"/>
                <w:lang w:eastAsia="ru-RU"/>
              </w:rPr>
              <w:t>Традиционные</w:t>
            </w:r>
          </w:p>
        </w:tc>
      </w:tr>
      <w:tr w:rsidR="00AF202B" w:rsidRPr="00AF202B" w:rsidTr="00AF202B">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sz w:val="24"/>
                <w:szCs w:val="24"/>
                <w:lang w:eastAsia="ru-RU"/>
              </w:rPr>
            </w:pPr>
            <w:r w:rsidRPr="00AF202B">
              <w:rPr>
                <w:rFonts w:ascii="Times New Roman" w:eastAsia="Times New Roman" w:hAnsi="Times New Roman" w:cs="Times New Roman"/>
                <w:sz w:val="24"/>
                <w:szCs w:val="24"/>
                <w:lang w:eastAsia="ru-RU"/>
              </w:rPr>
              <w:t>Постановка проблемы</w:t>
            </w:r>
          </w:p>
        </w:tc>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sz w:val="24"/>
                <w:szCs w:val="24"/>
                <w:lang w:eastAsia="ru-RU"/>
              </w:rPr>
            </w:pPr>
            <w:r w:rsidRPr="00AF202B">
              <w:rPr>
                <w:rFonts w:ascii="Times New Roman" w:eastAsia="Times New Roman" w:hAnsi="Times New Roman" w:cs="Times New Roman"/>
                <w:sz w:val="24"/>
                <w:szCs w:val="24"/>
                <w:lang w:eastAsia="ru-RU"/>
              </w:rPr>
              <w:t>Побуждающий от проблемной ситуации диалог</w:t>
            </w:r>
          </w:p>
        </w:tc>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sz w:val="24"/>
                <w:szCs w:val="24"/>
                <w:lang w:eastAsia="ru-RU"/>
              </w:rPr>
            </w:pPr>
            <w:r w:rsidRPr="00AF202B">
              <w:rPr>
                <w:rFonts w:ascii="Times New Roman" w:eastAsia="Times New Roman" w:hAnsi="Times New Roman" w:cs="Times New Roman"/>
                <w:sz w:val="24"/>
                <w:szCs w:val="24"/>
                <w:lang w:eastAsia="ru-RU"/>
              </w:rPr>
              <w:t>Подводящий к теме диалог</w:t>
            </w:r>
          </w:p>
        </w:tc>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sz w:val="24"/>
                <w:szCs w:val="24"/>
                <w:lang w:eastAsia="ru-RU"/>
              </w:rPr>
            </w:pPr>
            <w:r w:rsidRPr="00AF202B">
              <w:rPr>
                <w:rFonts w:ascii="Times New Roman" w:eastAsia="Times New Roman" w:hAnsi="Times New Roman" w:cs="Times New Roman"/>
                <w:sz w:val="24"/>
                <w:szCs w:val="24"/>
                <w:lang w:eastAsia="ru-RU"/>
              </w:rPr>
              <w:t>Сообщение темы</w:t>
            </w:r>
          </w:p>
        </w:tc>
      </w:tr>
      <w:tr w:rsidR="00AF202B" w:rsidRPr="00AF202B" w:rsidTr="00AF202B">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sz w:val="24"/>
                <w:szCs w:val="24"/>
                <w:lang w:eastAsia="ru-RU"/>
              </w:rPr>
            </w:pPr>
            <w:r w:rsidRPr="00AF202B">
              <w:rPr>
                <w:rFonts w:ascii="Times New Roman" w:eastAsia="Times New Roman" w:hAnsi="Times New Roman" w:cs="Times New Roman"/>
                <w:sz w:val="24"/>
                <w:szCs w:val="24"/>
                <w:lang w:eastAsia="ru-RU"/>
              </w:rPr>
              <w:t>Поиск решения</w:t>
            </w:r>
          </w:p>
        </w:tc>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sz w:val="24"/>
                <w:szCs w:val="24"/>
                <w:lang w:eastAsia="ru-RU"/>
              </w:rPr>
            </w:pPr>
            <w:r w:rsidRPr="00AF202B">
              <w:rPr>
                <w:rFonts w:ascii="Times New Roman" w:eastAsia="Times New Roman" w:hAnsi="Times New Roman" w:cs="Times New Roman"/>
                <w:sz w:val="24"/>
                <w:szCs w:val="24"/>
                <w:lang w:eastAsia="ru-RU"/>
              </w:rPr>
              <w:t>Побуждающий к выдвижению и проверке гипотез диалог</w:t>
            </w:r>
          </w:p>
        </w:tc>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sz w:val="24"/>
                <w:szCs w:val="24"/>
                <w:lang w:eastAsia="ru-RU"/>
              </w:rPr>
            </w:pPr>
            <w:r w:rsidRPr="00AF202B">
              <w:rPr>
                <w:rFonts w:ascii="Times New Roman" w:eastAsia="Times New Roman" w:hAnsi="Times New Roman" w:cs="Times New Roman"/>
                <w:sz w:val="24"/>
                <w:szCs w:val="24"/>
                <w:lang w:eastAsia="ru-RU"/>
              </w:rPr>
              <w:t>Подводящий к знанию диалог</w:t>
            </w:r>
          </w:p>
        </w:tc>
        <w:tc>
          <w:tcPr>
            <w:tcW w:w="0" w:type="auto"/>
            <w:tcBorders>
              <w:top w:val="single" w:sz="6" w:space="0" w:color="422D12"/>
              <w:left w:val="single" w:sz="6" w:space="0" w:color="422D12"/>
              <w:bottom w:val="single" w:sz="6" w:space="0" w:color="422D12"/>
              <w:right w:val="single" w:sz="6" w:space="0" w:color="422D12"/>
            </w:tcBorders>
            <w:shd w:val="clear" w:color="auto" w:fill="auto"/>
            <w:tcMar>
              <w:top w:w="75" w:type="dxa"/>
              <w:left w:w="75" w:type="dxa"/>
              <w:bottom w:w="75" w:type="dxa"/>
              <w:right w:w="75" w:type="dxa"/>
            </w:tcMar>
            <w:hideMark/>
          </w:tcPr>
          <w:p w:rsidR="00AF202B" w:rsidRPr="00AF202B" w:rsidRDefault="00AF202B" w:rsidP="00AF202B">
            <w:pPr>
              <w:spacing w:after="0" w:line="240" w:lineRule="auto"/>
              <w:rPr>
                <w:rFonts w:ascii="Times New Roman" w:eastAsia="Times New Roman" w:hAnsi="Times New Roman" w:cs="Times New Roman"/>
                <w:sz w:val="24"/>
                <w:szCs w:val="24"/>
                <w:lang w:eastAsia="ru-RU"/>
              </w:rPr>
            </w:pPr>
            <w:r w:rsidRPr="00AF202B">
              <w:rPr>
                <w:rFonts w:ascii="Times New Roman" w:eastAsia="Times New Roman" w:hAnsi="Times New Roman" w:cs="Times New Roman"/>
                <w:sz w:val="24"/>
                <w:szCs w:val="24"/>
                <w:lang w:eastAsia="ru-RU"/>
              </w:rPr>
              <w:t>Сообщение знания</w:t>
            </w:r>
          </w:p>
        </w:tc>
      </w:tr>
    </w:tbl>
    <w:p w:rsidR="00AF202B" w:rsidRPr="00AF202B" w:rsidRDefault="00AF202B" w:rsidP="00AF202B">
      <w:pPr>
        <w:spacing w:after="0" w:line="360" w:lineRule="atLeast"/>
        <w:ind w:left="300" w:right="300"/>
        <w:jc w:val="both"/>
        <w:textAlignment w:val="baseline"/>
        <w:rPr>
          <w:rFonts w:ascii="Times New Roman" w:eastAsia="Times New Roman" w:hAnsi="Times New Roman" w:cs="Arial"/>
          <w:color w:val="170E02"/>
          <w:sz w:val="24"/>
          <w:szCs w:val="24"/>
          <w:lang w:eastAsia="ru-RU"/>
        </w:rPr>
      </w:pPr>
      <w:r w:rsidRPr="00AF202B">
        <w:rPr>
          <w:rFonts w:ascii="Arial" w:eastAsia="Times New Roman" w:hAnsi="Arial" w:cs="Arial"/>
          <w:b/>
          <w:bCs/>
          <w:color w:val="170E02"/>
          <w:sz w:val="24"/>
          <w:szCs w:val="24"/>
          <w:lang w:eastAsia="ru-RU"/>
        </w:rPr>
        <w:t>В рамках технологии разработаны приемы создания проблемной ситуации и для каждого прописан текст  диалога,</w:t>
      </w:r>
      <w:r w:rsidRPr="00AF202B">
        <w:rPr>
          <w:rFonts w:ascii="Arial" w:eastAsia="Times New Roman" w:hAnsi="Arial" w:cs="Arial"/>
          <w:color w:val="170E02"/>
          <w:sz w:val="24"/>
          <w:szCs w:val="24"/>
          <w:lang w:eastAsia="ru-RU"/>
        </w:rPr>
        <w:t> описаны способы реагирования учителя на предлагаемые учениками формулировки учебной проблемы; установлена предметная специфика приемов создания проблемной ситуации.</w:t>
      </w:r>
    </w:p>
    <w:p w:rsidR="00AF202B" w:rsidRPr="00AF202B" w:rsidRDefault="00AF202B" w:rsidP="00AF202B">
      <w:pPr>
        <w:spacing w:after="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b/>
          <w:bCs/>
          <w:color w:val="170E02"/>
          <w:sz w:val="24"/>
          <w:szCs w:val="24"/>
          <w:lang w:eastAsia="ru-RU"/>
        </w:rPr>
        <w:t>Для уроков естествознания и обществознания</w:t>
      </w:r>
      <w:r w:rsidRPr="00AF202B">
        <w:rPr>
          <w:rFonts w:ascii="Arial" w:eastAsia="Times New Roman" w:hAnsi="Arial" w:cs="Arial"/>
          <w:color w:val="170E02"/>
          <w:sz w:val="24"/>
          <w:szCs w:val="24"/>
          <w:lang w:eastAsia="ru-RU"/>
        </w:rPr>
        <w:t> наиболее характерной является проблемная ситуация с одновременным предъявлением двух противоречивых фактов (теорий, мнений), после чего учитель произносит следующие реплики побуждающего диалога: «Что вас удивило? Какое противоречие налицо? Какой возникает вопрос?»</w:t>
      </w:r>
    </w:p>
    <w:p w:rsidR="00AF202B" w:rsidRPr="00AF202B" w:rsidRDefault="00AF202B" w:rsidP="00AF202B">
      <w:pPr>
        <w:spacing w:after="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b/>
          <w:bCs/>
          <w:color w:val="170E02"/>
          <w:sz w:val="24"/>
          <w:szCs w:val="24"/>
          <w:lang w:eastAsia="ru-RU"/>
        </w:rPr>
        <w:t>Для уроков русского языка и математики </w:t>
      </w:r>
      <w:r w:rsidRPr="00AF202B">
        <w:rPr>
          <w:rFonts w:ascii="Arial" w:eastAsia="Times New Roman" w:hAnsi="Arial" w:cs="Arial"/>
          <w:color w:val="170E02"/>
          <w:sz w:val="24"/>
          <w:szCs w:val="24"/>
          <w:lang w:eastAsia="ru-RU"/>
        </w:rPr>
        <w:t xml:space="preserve">более типична проблемная ситуация с предъявлением практического задания, основанного на новом материале (напиши или реши то, что только сегодня будем изучать). Правда, на уроках русского языка ученики такие задания могут выполнить, но по-разному, поэтому возникает проблемная ситуация с разбросом мнений и побуждающий диалог звучит так: «Задание было одно? А как вы его выполнили? Почему получились разные варианты? Чего мы еще не знаем?» На уроках математики ученики обычно не могут выполнить задание, включающее новый материал. Возникает проблемная ситуация с затруднением, и поэтому диалог будет другим: «Вы смогли выполнить задание? Нет? В чем затруднение? Чем это задание не похоже на </w:t>
      </w:r>
      <w:proofErr w:type="gramStart"/>
      <w:r w:rsidRPr="00AF202B">
        <w:rPr>
          <w:rFonts w:ascii="Arial" w:eastAsia="Times New Roman" w:hAnsi="Arial" w:cs="Arial"/>
          <w:color w:val="170E02"/>
          <w:sz w:val="24"/>
          <w:szCs w:val="24"/>
          <w:lang w:eastAsia="ru-RU"/>
        </w:rPr>
        <w:t>предыдущие</w:t>
      </w:r>
      <w:proofErr w:type="gramEnd"/>
      <w:r w:rsidRPr="00AF202B">
        <w:rPr>
          <w:rFonts w:ascii="Arial" w:eastAsia="Times New Roman" w:hAnsi="Arial" w:cs="Arial"/>
          <w:color w:val="170E02"/>
          <w:sz w:val="24"/>
          <w:szCs w:val="24"/>
          <w:lang w:eastAsia="ru-RU"/>
        </w:rPr>
        <w:t>?»</w:t>
      </w:r>
    </w:p>
    <w:p w:rsidR="00AF202B" w:rsidRPr="00AF202B" w:rsidRDefault="00AF202B" w:rsidP="00AF202B">
      <w:pPr>
        <w:spacing w:before="150" w:after="15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color w:val="170E02"/>
          <w:sz w:val="24"/>
          <w:szCs w:val="24"/>
          <w:lang w:eastAsia="ru-RU"/>
        </w:rPr>
        <w:t>Не менее подробно охарактеризован диалог, побуждающий учеников к выдвижению и проверке гипотез. В частности, разработана его структура, описаны последовательный и одновременный варианты выдвижения гипотез, даны способы реагирования на предложения учеников. Таким образом, технология проблемного диалога включает детальное описание методов обучения.</w:t>
      </w:r>
    </w:p>
    <w:p w:rsidR="00AF202B" w:rsidRPr="00AF202B" w:rsidRDefault="00AF202B" w:rsidP="00AF202B">
      <w:pPr>
        <w:spacing w:after="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b/>
          <w:bCs/>
          <w:color w:val="170E02"/>
          <w:sz w:val="24"/>
          <w:szCs w:val="24"/>
          <w:lang w:eastAsia="ru-RU"/>
        </w:rPr>
        <w:t>Однако реальный урок – это не только методы, но еще  формы и средства обучения.</w:t>
      </w:r>
      <w:r w:rsidR="00FA2481">
        <w:rPr>
          <w:rFonts w:ascii="Arial" w:eastAsia="Times New Roman" w:hAnsi="Arial" w:cs="Arial"/>
          <w:b/>
          <w:bCs/>
          <w:color w:val="170E02"/>
          <w:sz w:val="24"/>
          <w:szCs w:val="24"/>
          <w:lang w:eastAsia="ru-RU"/>
        </w:rPr>
        <w:t xml:space="preserve"> </w:t>
      </w:r>
      <w:r w:rsidRPr="00AF202B">
        <w:rPr>
          <w:rFonts w:ascii="Arial" w:eastAsia="Times New Roman" w:hAnsi="Arial" w:cs="Arial"/>
          <w:color w:val="170E02"/>
          <w:sz w:val="24"/>
          <w:szCs w:val="24"/>
          <w:lang w:eastAsia="ru-RU"/>
        </w:rPr>
        <w:t>Установлены взаимосвязи проблемно-диалогических методов с </w:t>
      </w:r>
      <w:r w:rsidRPr="00AF202B">
        <w:rPr>
          <w:rFonts w:ascii="Arial" w:eastAsia="Times New Roman" w:hAnsi="Arial" w:cs="Arial"/>
          <w:b/>
          <w:bCs/>
          <w:color w:val="170E02"/>
          <w:sz w:val="24"/>
          <w:szCs w:val="24"/>
          <w:lang w:eastAsia="ru-RU"/>
        </w:rPr>
        <w:t>формами</w:t>
      </w:r>
      <w:r w:rsidRPr="00AF202B">
        <w:rPr>
          <w:rFonts w:ascii="Arial" w:eastAsia="Times New Roman" w:hAnsi="Arial" w:cs="Arial"/>
          <w:color w:val="170E02"/>
          <w:sz w:val="24"/>
          <w:szCs w:val="24"/>
          <w:lang w:eastAsia="ru-RU"/>
        </w:rPr>
        <w:t> обучения: групповой, парной, фронтальной. Например, проблемная ситуация с разбросом мнений, характерная для уроков русского языка, легко создается в ходе групповой работы, а проблемная ситуация с затруднением – на уроках математики во фронтальной работе с классом. Изучены связи методов с такими </w:t>
      </w:r>
      <w:r w:rsidRPr="00AF202B">
        <w:rPr>
          <w:rFonts w:ascii="Arial" w:eastAsia="Times New Roman" w:hAnsi="Arial" w:cs="Arial"/>
          <w:b/>
          <w:bCs/>
          <w:color w:val="170E02"/>
          <w:sz w:val="24"/>
          <w:szCs w:val="24"/>
          <w:lang w:eastAsia="ru-RU"/>
        </w:rPr>
        <w:t>средствами</w:t>
      </w:r>
      <w:r w:rsidRPr="00AF202B">
        <w:rPr>
          <w:rFonts w:ascii="Arial" w:eastAsia="Times New Roman" w:hAnsi="Arial" w:cs="Arial"/>
          <w:color w:val="170E02"/>
          <w:sz w:val="24"/>
          <w:szCs w:val="24"/>
          <w:lang w:eastAsia="ru-RU"/>
        </w:rPr>
        <w:t> обучения, как опорные сигналы, учебник и ТСО. В частности, описано, какие бывают опорные сигналы, кто и в какой момент урока их создает и даже на какой части доски их лучше располагать.</w:t>
      </w:r>
    </w:p>
    <w:p w:rsidR="00AF202B" w:rsidRPr="00AF202B" w:rsidRDefault="00AF202B" w:rsidP="00AF202B">
      <w:pPr>
        <w:spacing w:before="150" w:after="150" w:line="360" w:lineRule="atLeast"/>
        <w:ind w:left="300" w:right="300"/>
        <w:jc w:val="both"/>
        <w:textAlignment w:val="baseline"/>
        <w:rPr>
          <w:rFonts w:ascii="Arial" w:eastAsia="Times New Roman" w:hAnsi="Arial" w:cs="Arial"/>
          <w:color w:val="170E02"/>
          <w:sz w:val="24"/>
          <w:szCs w:val="24"/>
          <w:lang w:eastAsia="ru-RU"/>
        </w:rPr>
      </w:pPr>
      <w:r w:rsidRPr="00AF202B">
        <w:rPr>
          <w:rFonts w:ascii="Arial" w:eastAsia="Times New Roman" w:hAnsi="Arial" w:cs="Arial"/>
          <w:color w:val="170E02"/>
          <w:sz w:val="24"/>
          <w:szCs w:val="24"/>
          <w:lang w:eastAsia="ru-RU"/>
        </w:rPr>
        <w:t>Таким образом, технология проблемного диалога представляет собой детальное описание методов постановки и решения проблем, а также их взаимосвязей с формами и средствами обучения.</w:t>
      </w:r>
    </w:p>
    <w:p w:rsidR="001026E2" w:rsidRDefault="001026E2"/>
    <w:sectPr w:rsidR="001026E2" w:rsidSect="001026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D64BE"/>
    <w:multiLevelType w:val="multilevel"/>
    <w:tmpl w:val="5C0C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9D5F83"/>
    <w:multiLevelType w:val="multilevel"/>
    <w:tmpl w:val="CAD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AF202B"/>
    <w:rsid w:val="001026E2"/>
    <w:rsid w:val="005859C7"/>
    <w:rsid w:val="00AF202B"/>
    <w:rsid w:val="00FA2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6E2"/>
  </w:style>
  <w:style w:type="paragraph" w:styleId="2">
    <w:name w:val="heading 2"/>
    <w:basedOn w:val="a"/>
    <w:link w:val="20"/>
    <w:uiPriority w:val="9"/>
    <w:qFormat/>
    <w:rsid w:val="00AF20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F20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20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F202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F20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202B"/>
    <w:rPr>
      <w:b/>
      <w:bCs/>
    </w:rPr>
  </w:style>
  <w:style w:type="character" w:customStyle="1" w:styleId="apple-converted-space">
    <w:name w:val="apple-converted-space"/>
    <w:basedOn w:val="a0"/>
    <w:rsid w:val="00AF202B"/>
  </w:style>
  <w:style w:type="paragraph" w:styleId="a5">
    <w:name w:val="Balloon Text"/>
    <w:basedOn w:val="a"/>
    <w:link w:val="a6"/>
    <w:uiPriority w:val="99"/>
    <w:semiHidden/>
    <w:unhideWhenUsed/>
    <w:rsid w:val="00AF20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20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596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2013-11-25T11:02:00Z</dcterms:created>
  <dcterms:modified xsi:type="dcterms:W3CDTF">2014-03-17T06:56:00Z</dcterms:modified>
</cp:coreProperties>
</file>